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29"/>
        <w:gridCol w:w="1840"/>
        <w:gridCol w:w="758"/>
        <w:gridCol w:w="758"/>
        <w:gridCol w:w="700"/>
        <w:gridCol w:w="717"/>
        <w:gridCol w:w="712"/>
        <w:gridCol w:w="717"/>
        <w:gridCol w:w="700"/>
        <w:gridCol w:w="714"/>
        <w:gridCol w:w="709"/>
        <w:gridCol w:w="713"/>
        <w:gridCol w:w="699"/>
        <w:gridCol w:w="713"/>
        <w:gridCol w:w="708"/>
        <w:gridCol w:w="713"/>
        <w:gridCol w:w="699"/>
        <w:gridCol w:w="713"/>
        <w:gridCol w:w="690"/>
      </w:tblGrid>
      <w:tr w:rsidR="00890B0A" w:rsidRPr="001C5D75" w:rsidTr="00890B0A">
        <w:trPr>
          <w:trHeight w:val="567"/>
        </w:trPr>
        <w:tc>
          <w:tcPr>
            <w:tcW w:w="182" w:type="pct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bookmarkStart w:id="0" w:name="_GoBack"/>
            <w:bookmarkEnd w:id="0"/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vertAlign w:val="subscript"/>
              </w:rPr>
            </w:pPr>
            <w:r w:rsidRPr="001C5D75">
              <w:rPr>
                <w:rFonts w:ascii="Constantia" w:hAnsi="Constantia"/>
              </w:rPr>
              <w:t>a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b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vertAlign w:val="subscript"/>
              </w:rPr>
            </w:pPr>
            <w:r w:rsidRPr="001C5D75">
              <w:rPr>
                <w:rFonts w:ascii="Constantia" w:hAnsi="Constantia"/>
              </w:rPr>
              <w:t>c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vertAlign w:val="subscript"/>
              </w:rPr>
            </w:pPr>
            <w:r w:rsidRPr="001C5D75">
              <w:rPr>
                <w:rFonts w:ascii="Constantia" w:hAnsi="Constantia"/>
              </w:rPr>
              <w:t>d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vertAlign w:val="subscript"/>
              </w:rPr>
            </w:pPr>
            <w:r w:rsidRPr="001C5D75">
              <w:rPr>
                <w:rFonts w:ascii="Constantia" w:hAnsi="Constantia"/>
              </w:rPr>
              <w:t>a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vertAlign w:val="subscript"/>
              </w:rPr>
            </w:pPr>
            <w:r w:rsidRPr="001C5D75">
              <w:rPr>
                <w:rFonts w:ascii="Constantia" w:hAnsi="Constantia"/>
              </w:rPr>
              <w:t>b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vertAlign w:val="subscript"/>
              </w:rPr>
            </w:pPr>
            <w:r w:rsidRPr="001C5D75">
              <w:rPr>
                <w:rFonts w:ascii="Constantia" w:hAnsi="Constantia"/>
              </w:rPr>
              <w:t>c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vertAlign w:val="subscript"/>
              </w:rPr>
            </w:pPr>
            <w:r w:rsidRPr="001C5D75">
              <w:rPr>
                <w:rFonts w:ascii="Constantia" w:hAnsi="Constantia"/>
              </w:rPr>
              <w:t>d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a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b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c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d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a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b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c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d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yellow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yellow"/>
              </w:rPr>
              <w:t>(-5)</w:t>
            </w:r>
            <w:r w:rsidRPr="001C5D75">
              <w:rPr>
                <w:rFonts w:ascii="Constantia" w:hAnsi="Constantia"/>
                <w:sz w:val="20"/>
                <w:szCs w:val="20"/>
                <w:highlight w:val="yellow"/>
                <w:vertAlign w:val="superscript"/>
              </w:rPr>
              <w:t>3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yellow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yellow"/>
              </w:rPr>
              <w:t>(-5)</w:t>
            </w:r>
            <w:r w:rsidRPr="001C5D75">
              <w:rPr>
                <w:rFonts w:ascii="Constantia" w:hAnsi="Constantia"/>
                <w:sz w:val="20"/>
                <w:szCs w:val="20"/>
                <w:highlight w:val="yellow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yellow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yellow"/>
              </w:rPr>
              <w:t>-5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yellow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-0,5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2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(-1,6)</w:t>
            </w:r>
            <w:r w:rsidRPr="001C5D75">
              <w:rPr>
                <w:rFonts w:ascii="Constantia" w:hAnsi="Constantia"/>
                <w:sz w:val="20"/>
                <w:szCs w:val="20"/>
                <w:highlight w:val="green"/>
                <w:vertAlign w:val="superscript"/>
              </w:rPr>
              <w:t>3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(-1,6)</w:t>
            </w:r>
            <w:r w:rsidRPr="001C5D75">
              <w:rPr>
                <w:rFonts w:ascii="Constantia" w:hAnsi="Constantia"/>
                <w:sz w:val="20"/>
                <w:szCs w:val="20"/>
                <w:highlight w:val="green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-1,6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0,7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3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8"/>
                <w:szCs w:val="18"/>
                <w:highlight w:val="green"/>
                <w:vertAlign w:val="superscript"/>
              </w:rPr>
            </w:pPr>
            <w:r w:rsidRPr="001C5D75">
              <w:rPr>
                <w:rFonts w:ascii="Constantia" w:hAnsi="Constantia"/>
                <w:sz w:val="18"/>
                <w:szCs w:val="18"/>
                <w:highlight w:val="green"/>
              </w:rPr>
              <w:t>(-1,6)</w:t>
            </w:r>
            <w:r w:rsidRPr="001C5D75">
              <w:rPr>
                <w:rFonts w:ascii="Constantia" w:hAnsi="Constantia"/>
                <w:sz w:val="18"/>
                <w:szCs w:val="18"/>
                <w:highlight w:val="green"/>
                <w:vertAlign w:val="superscript"/>
              </w:rPr>
              <w:t>3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8"/>
                <w:szCs w:val="18"/>
                <w:highlight w:val="green"/>
                <w:vertAlign w:val="superscript"/>
              </w:rPr>
            </w:pPr>
            <w:r w:rsidRPr="001C5D75">
              <w:rPr>
                <w:rFonts w:ascii="Constantia" w:hAnsi="Constantia"/>
                <w:sz w:val="18"/>
                <w:szCs w:val="18"/>
                <w:highlight w:val="green"/>
              </w:rPr>
              <w:t>(-1,6)</w:t>
            </w:r>
            <w:r w:rsidRPr="001C5D75">
              <w:rPr>
                <w:rFonts w:ascii="Constantia" w:hAnsi="Constantia"/>
                <w:sz w:val="18"/>
                <w:szCs w:val="18"/>
                <w:highlight w:val="green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-1,6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0,7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4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2,4</w:t>
            </w:r>
            <w:r w:rsidRPr="001C5D75"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  <w:t>3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2,4</w:t>
            </w:r>
            <w:r w:rsidRPr="001C5D75"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2,4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1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-0,4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5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2,4</w:t>
            </w:r>
            <w:r w:rsidRPr="001C5D75"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  <w:t>3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2,4</w:t>
            </w:r>
            <w:r w:rsidRPr="001C5D75"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2,4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1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-0,4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6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4,6</w:t>
            </w:r>
            <w:r w:rsidRPr="001C5D75"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  <w:t>3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4,6</w:t>
            </w:r>
            <w:r w:rsidRPr="001C5D75"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4,6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1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0,4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7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4,6</w:t>
            </w:r>
            <w:r w:rsidRPr="001C5D75"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  <w:t>3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4,6</w:t>
            </w:r>
            <w:r w:rsidRPr="001C5D75"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4,6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1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0,4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8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(x</w:t>
            </w:r>
            <w:r w:rsidRPr="001C5D75">
              <w:rPr>
                <w:rFonts w:ascii="Constantia" w:hAnsi="Constantia"/>
                <w:vertAlign w:val="subscript"/>
              </w:rPr>
              <w:t>5</w:t>
            </w:r>
            <w:r w:rsidRPr="001C5D75">
              <w:rPr>
                <w:rFonts w:ascii="Constantia" w:hAnsi="Constantia"/>
              </w:rPr>
              <w:t>) = y</w:t>
            </w:r>
            <w:r w:rsidRPr="001C5D75">
              <w:rPr>
                <w:rFonts w:ascii="Constantia" w:hAnsi="Constantia"/>
                <w:vertAlign w:val="subscript"/>
              </w:rPr>
              <w:t>5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5,6</w:t>
            </w:r>
            <w:r w:rsidRPr="001C5D75">
              <w:rPr>
                <w:rFonts w:ascii="Constantia" w:hAnsi="Constantia"/>
                <w:sz w:val="20"/>
                <w:szCs w:val="20"/>
                <w:highlight w:val="red"/>
                <w:vertAlign w:val="superscript"/>
              </w:rPr>
              <w:t>3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5,6</w:t>
            </w:r>
            <w:r w:rsidRPr="001C5D75">
              <w:rPr>
                <w:rFonts w:ascii="Constantia" w:hAnsi="Constantia"/>
                <w:sz w:val="20"/>
                <w:szCs w:val="20"/>
                <w:highlight w:val="red"/>
                <w:vertAlign w:val="superscript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5,6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1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-0,8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9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yellow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yellow"/>
              </w:rPr>
              <w:t>6∙(-5)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yellow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10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5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6∙5,6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red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red"/>
              </w:rPr>
              <w:t>0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11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  <w:r w:rsidRPr="001C5D75">
              <w:rPr>
                <w:rFonts w:ascii="Constantia" w:hAnsi="Constantia"/>
              </w:rPr>
              <w:t>´(x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) – f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´(x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rPr>
                <w:rFonts w:ascii="Constantia" w:hAnsi="Constantia"/>
                <w:sz w:val="16"/>
                <w:szCs w:val="16"/>
                <w:highlight w:val="green"/>
                <w:vertAlign w:val="superscript"/>
              </w:rPr>
            </w:pPr>
            <w:r w:rsidRPr="001C5D75">
              <w:rPr>
                <w:rFonts w:ascii="Constantia" w:hAnsi="Constantia"/>
                <w:sz w:val="16"/>
                <w:szCs w:val="16"/>
                <w:highlight w:val="green"/>
              </w:rPr>
              <w:t>3∙(1,6)</w:t>
            </w:r>
            <w:r w:rsidRPr="001C5D75">
              <w:rPr>
                <w:rFonts w:ascii="Constantia" w:hAnsi="Constantia"/>
                <w:sz w:val="16"/>
                <w:szCs w:val="16"/>
                <w:highlight w:val="green"/>
                <w:vertAlign w:val="superscript"/>
              </w:rPr>
              <w:t>2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8"/>
                <w:szCs w:val="18"/>
                <w:highlight w:val="green"/>
              </w:rPr>
            </w:pPr>
            <w:r w:rsidRPr="001C5D75">
              <w:rPr>
                <w:rFonts w:ascii="Constantia" w:hAnsi="Constantia"/>
                <w:sz w:val="18"/>
                <w:szCs w:val="18"/>
                <w:highlight w:val="green"/>
              </w:rPr>
              <w:t>2∙(-1,6)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8"/>
                <w:szCs w:val="18"/>
                <w:highlight w:val="green"/>
              </w:rPr>
            </w:pPr>
            <w:r w:rsidRPr="001C5D75">
              <w:rPr>
                <w:rFonts w:ascii="Constantia" w:hAnsi="Constantia"/>
                <w:sz w:val="18"/>
                <w:szCs w:val="18"/>
                <w:highlight w:val="green"/>
              </w:rPr>
              <w:t>1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8"/>
                <w:szCs w:val="18"/>
                <w:highlight w:val="green"/>
              </w:rPr>
            </w:pPr>
            <w:r w:rsidRPr="001C5D75">
              <w:rPr>
                <w:rFonts w:ascii="Constantia" w:hAnsi="Constantia"/>
                <w:sz w:val="18"/>
                <w:szCs w:val="18"/>
                <w:highlight w:val="green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rPr>
                <w:rFonts w:ascii="Constantia" w:hAnsi="Constantia"/>
                <w:sz w:val="16"/>
                <w:szCs w:val="16"/>
                <w:highlight w:val="green"/>
                <w:vertAlign w:val="superscript"/>
              </w:rPr>
            </w:pPr>
            <w:r w:rsidRPr="001C5D75">
              <w:rPr>
                <w:rFonts w:ascii="Constantia" w:hAnsi="Constantia"/>
                <w:sz w:val="16"/>
                <w:szCs w:val="16"/>
                <w:highlight w:val="green"/>
              </w:rPr>
              <w:t>-3∙(</w:t>
            </w:r>
            <w:r w:rsidR="00AB672A" w:rsidRPr="001C5D75">
              <w:rPr>
                <w:rFonts w:ascii="Constantia" w:hAnsi="Constantia"/>
                <w:sz w:val="16"/>
                <w:szCs w:val="16"/>
                <w:highlight w:val="green"/>
              </w:rPr>
              <w:t>-</w:t>
            </w:r>
            <w:r w:rsidRPr="001C5D75">
              <w:rPr>
                <w:rFonts w:ascii="Constantia" w:hAnsi="Constantia"/>
                <w:sz w:val="16"/>
                <w:szCs w:val="16"/>
                <w:highlight w:val="green"/>
              </w:rPr>
              <w:t>1,6)</w:t>
            </w:r>
            <w:r w:rsidRPr="001C5D75">
              <w:rPr>
                <w:rFonts w:ascii="Constantia" w:hAnsi="Constantia"/>
                <w:sz w:val="16"/>
                <w:szCs w:val="16"/>
                <w:highlight w:val="green"/>
                <w:vertAlign w:val="superscript"/>
              </w:rPr>
              <w:t>2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6"/>
                <w:szCs w:val="16"/>
                <w:highlight w:val="green"/>
              </w:rPr>
            </w:pPr>
            <w:r w:rsidRPr="001C5D75">
              <w:rPr>
                <w:rFonts w:ascii="Constantia" w:hAnsi="Constantia"/>
                <w:sz w:val="16"/>
                <w:szCs w:val="16"/>
                <w:highlight w:val="green"/>
              </w:rPr>
              <w:t>-2∙(-1,6)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8"/>
                <w:szCs w:val="18"/>
                <w:highlight w:val="green"/>
              </w:rPr>
            </w:pPr>
            <w:r w:rsidRPr="001C5D75">
              <w:rPr>
                <w:rFonts w:ascii="Constantia" w:hAnsi="Constantia"/>
                <w:sz w:val="18"/>
                <w:szCs w:val="18"/>
                <w:highlight w:val="green"/>
              </w:rPr>
              <w:t>-1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8"/>
                <w:szCs w:val="18"/>
              </w:rPr>
            </w:pPr>
            <w:r w:rsidRPr="001C5D75">
              <w:rPr>
                <w:rFonts w:ascii="Constantia" w:hAnsi="Constantia"/>
                <w:sz w:val="18"/>
                <w:szCs w:val="18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12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´(x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) – f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´(x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3∙2,4</w:t>
            </w:r>
            <w:r w:rsidRPr="001C5D75">
              <w:rPr>
                <w:rFonts w:ascii="Constantia" w:hAnsi="Constantia"/>
                <w:sz w:val="20"/>
                <w:szCs w:val="20"/>
                <w:highlight w:val="cyan"/>
                <w:vertAlign w:val="superscript"/>
              </w:rPr>
              <w:t>2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2∙2,4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1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rPr>
                <w:rFonts w:ascii="Constantia" w:hAnsi="Constantia"/>
                <w:sz w:val="18"/>
                <w:szCs w:val="18"/>
                <w:highlight w:val="cyan"/>
                <w:vertAlign w:val="superscript"/>
              </w:rPr>
            </w:pPr>
            <w:r w:rsidRPr="001C5D75">
              <w:rPr>
                <w:rFonts w:ascii="Constantia" w:hAnsi="Constantia"/>
                <w:sz w:val="18"/>
                <w:szCs w:val="18"/>
                <w:highlight w:val="cyan"/>
              </w:rPr>
              <w:t>-3∙2,4</w:t>
            </w:r>
            <w:r w:rsidRPr="001C5D75">
              <w:rPr>
                <w:rFonts w:ascii="Constantia" w:hAnsi="Constantia"/>
                <w:sz w:val="18"/>
                <w:szCs w:val="18"/>
                <w:highlight w:val="cyan"/>
                <w:vertAlign w:val="superscript"/>
              </w:rPr>
              <w:t>2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-2∙2,4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-1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13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´(x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) – f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´(x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3∙4,6</w:t>
            </w:r>
            <w:r w:rsidRPr="001C5D75"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  <w:t>2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2∙4,6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1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-3∙4,6</w:t>
            </w:r>
            <w:r w:rsidRPr="001C5D75">
              <w:rPr>
                <w:rFonts w:ascii="Constantia" w:hAnsi="Constantia"/>
                <w:sz w:val="20"/>
                <w:szCs w:val="20"/>
                <w:highlight w:val="magenta"/>
                <w:vertAlign w:val="superscript"/>
              </w:rPr>
              <w:t>2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-2∙4,6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-1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14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1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) – f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6∙(-1,6)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16"/>
                <w:szCs w:val="16"/>
                <w:highlight w:val="green"/>
              </w:rPr>
            </w:pPr>
            <w:r w:rsidRPr="001C5D75">
              <w:rPr>
                <w:rFonts w:ascii="Constantia" w:hAnsi="Constantia"/>
                <w:sz w:val="16"/>
                <w:szCs w:val="16"/>
                <w:highlight w:val="green"/>
              </w:rPr>
              <w:t>-6∙(-1,6)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-2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gree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green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15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2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) – f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6∙2,4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-6∙2,4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cyan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cyan"/>
              </w:rPr>
              <w:t>-2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</w:tr>
      <w:tr w:rsidR="00890B0A" w:rsidRPr="001C5D75" w:rsidTr="00890B0A">
        <w:trPr>
          <w:trHeight w:val="454"/>
        </w:trPr>
        <w:tc>
          <w:tcPr>
            <w:tcW w:w="182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b/>
              </w:rPr>
            </w:pPr>
            <w:r w:rsidRPr="001C5D75">
              <w:rPr>
                <w:rFonts w:ascii="Constantia" w:hAnsi="Constantia"/>
                <w:b/>
              </w:rPr>
              <w:t>16</w:t>
            </w:r>
          </w:p>
        </w:tc>
        <w:tc>
          <w:tcPr>
            <w:tcW w:w="63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</w:rPr>
            </w:pPr>
            <w:r w:rsidRPr="001C5D75">
              <w:rPr>
                <w:rFonts w:ascii="Constantia" w:hAnsi="Constantia"/>
              </w:rPr>
              <w:t>f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) – f</w:t>
            </w:r>
            <w:r w:rsidRPr="001C5D75">
              <w:rPr>
                <w:rFonts w:ascii="Constantia" w:hAnsi="Constantia"/>
                <w:vertAlign w:val="subscript"/>
              </w:rPr>
              <w:t>3</w:t>
            </w:r>
            <w:r w:rsidRPr="001C5D75">
              <w:rPr>
                <w:rFonts w:ascii="Constantia" w:hAnsi="Constantia"/>
              </w:rPr>
              <w:t>´´(x</w:t>
            </w:r>
            <w:r w:rsidRPr="001C5D75">
              <w:rPr>
                <w:rFonts w:ascii="Constantia" w:hAnsi="Constantia"/>
                <w:vertAlign w:val="subscript"/>
              </w:rPr>
              <w:t>4</w:t>
            </w:r>
            <w:r w:rsidRPr="001C5D75">
              <w:rPr>
                <w:rFonts w:ascii="Constantia" w:hAnsi="Constantia"/>
              </w:rPr>
              <w:t>) = 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5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7" w:type="pct"/>
            <w:vAlign w:val="center"/>
          </w:tcPr>
          <w:p w:rsidR="00890B0A" w:rsidRPr="001C5D75" w:rsidRDefault="00890B0A" w:rsidP="00890B0A">
            <w:pPr>
              <w:ind w:left="0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6∙4,6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0</w:t>
            </w:r>
          </w:p>
        </w:tc>
        <w:tc>
          <w:tcPr>
            <w:tcW w:w="244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-6∙4,6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  <w:highlight w:val="magenta"/>
              </w:rPr>
            </w:pPr>
            <w:r w:rsidRPr="001C5D75">
              <w:rPr>
                <w:rFonts w:ascii="Constantia" w:hAnsi="Constantia"/>
                <w:sz w:val="20"/>
                <w:szCs w:val="20"/>
                <w:highlight w:val="magenta"/>
              </w:rPr>
              <w:t>-2</w:t>
            </w:r>
          </w:p>
        </w:tc>
        <w:tc>
          <w:tcPr>
            <w:tcW w:w="241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46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  <w:tc>
          <w:tcPr>
            <w:tcW w:w="238" w:type="pct"/>
            <w:vAlign w:val="center"/>
          </w:tcPr>
          <w:p w:rsidR="00890B0A" w:rsidRPr="001C5D75" w:rsidRDefault="00890B0A" w:rsidP="00890B0A">
            <w:pPr>
              <w:ind w:left="0"/>
              <w:jc w:val="center"/>
              <w:rPr>
                <w:rFonts w:ascii="Constantia" w:hAnsi="Constantia"/>
                <w:sz w:val="20"/>
                <w:szCs w:val="20"/>
              </w:rPr>
            </w:pPr>
            <w:r w:rsidRPr="001C5D75">
              <w:rPr>
                <w:rFonts w:ascii="Constantia" w:hAnsi="Constantia"/>
                <w:sz w:val="20"/>
                <w:szCs w:val="20"/>
              </w:rPr>
              <w:t>0</w:t>
            </w:r>
          </w:p>
        </w:tc>
      </w:tr>
    </w:tbl>
    <w:p w:rsidR="00B51AE4" w:rsidRPr="001C5D75" w:rsidRDefault="00B51AE4" w:rsidP="005A39F1">
      <w:pPr>
        <w:ind w:left="0"/>
        <w:rPr>
          <w:rFonts w:ascii="Constantia" w:hAnsi="Constantia" w:cs="Times New Roman"/>
          <w:sz w:val="24"/>
          <w:szCs w:val="24"/>
        </w:rPr>
      </w:pPr>
    </w:p>
    <w:sectPr w:rsidR="00B51AE4" w:rsidRPr="001C5D75" w:rsidSect="00890B0A"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3D1"/>
    <w:multiLevelType w:val="hybridMultilevel"/>
    <w:tmpl w:val="DC1A6406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19419D5"/>
    <w:multiLevelType w:val="hybridMultilevel"/>
    <w:tmpl w:val="7D0A73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768C2"/>
    <w:multiLevelType w:val="hybridMultilevel"/>
    <w:tmpl w:val="63DA2BC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66821"/>
    <w:multiLevelType w:val="hybridMultilevel"/>
    <w:tmpl w:val="3168EDBA"/>
    <w:lvl w:ilvl="0" w:tplc="0407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36476F2"/>
    <w:multiLevelType w:val="hybridMultilevel"/>
    <w:tmpl w:val="04268B1C"/>
    <w:lvl w:ilvl="0" w:tplc="0407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5724231"/>
    <w:multiLevelType w:val="hybridMultilevel"/>
    <w:tmpl w:val="49FA7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E75F2"/>
    <w:multiLevelType w:val="hybridMultilevel"/>
    <w:tmpl w:val="FCF8590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8651FB"/>
    <w:multiLevelType w:val="hybridMultilevel"/>
    <w:tmpl w:val="C5248F34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683"/>
    <w:rsid w:val="000005EC"/>
    <w:rsid w:val="00000E37"/>
    <w:rsid w:val="00001419"/>
    <w:rsid w:val="000126D9"/>
    <w:rsid w:val="00014CBC"/>
    <w:rsid w:val="000152B9"/>
    <w:rsid w:val="00015928"/>
    <w:rsid w:val="000177D8"/>
    <w:rsid w:val="00021C06"/>
    <w:rsid w:val="00023283"/>
    <w:rsid w:val="0002447A"/>
    <w:rsid w:val="0002473A"/>
    <w:rsid w:val="000252C3"/>
    <w:rsid w:val="0002538C"/>
    <w:rsid w:val="00025ECA"/>
    <w:rsid w:val="00026F16"/>
    <w:rsid w:val="00027F07"/>
    <w:rsid w:val="000336D5"/>
    <w:rsid w:val="0003592C"/>
    <w:rsid w:val="000435F1"/>
    <w:rsid w:val="000467DE"/>
    <w:rsid w:val="00046AFD"/>
    <w:rsid w:val="00046BE8"/>
    <w:rsid w:val="000476C3"/>
    <w:rsid w:val="00052125"/>
    <w:rsid w:val="00052258"/>
    <w:rsid w:val="0005649E"/>
    <w:rsid w:val="00056C96"/>
    <w:rsid w:val="00057ACF"/>
    <w:rsid w:val="00060236"/>
    <w:rsid w:val="0006067E"/>
    <w:rsid w:val="0006069A"/>
    <w:rsid w:val="000622CC"/>
    <w:rsid w:val="0006606A"/>
    <w:rsid w:val="00067EE4"/>
    <w:rsid w:val="000715A6"/>
    <w:rsid w:val="00074E9A"/>
    <w:rsid w:val="00085379"/>
    <w:rsid w:val="00085ABB"/>
    <w:rsid w:val="00086089"/>
    <w:rsid w:val="00087804"/>
    <w:rsid w:val="00087D54"/>
    <w:rsid w:val="00092BDF"/>
    <w:rsid w:val="00092F7C"/>
    <w:rsid w:val="00093F5D"/>
    <w:rsid w:val="000A1C37"/>
    <w:rsid w:val="000A1ED3"/>
    <w:rsid w:val="000A4D90"/>
    <w:rsid w:val="000A66D4"/>
    <w:rsid w:val="000A7A7D"/>
    <w:rsid w:val="000B1454"/>
    <w:rsid w:val="000B24E7"/>
    <w:rsid w:val="000C520D"/>
    <w:rsid w:val="000D0B47"/>
    <w:rsid w:val="000D0BD2"/>
    <w:rsid w:val="000D5050"/>
    <w:rsid w:val="000D671A"/>
    <w:rsid w:val="000D6863"/>
    <w:rsid w:val="000D6F59"/>
    <w:rsid w:val="000E462A"/>
    <w:rsid w:val="000E5FC0"/>
    <w:rsid w:val="000F1478"/>
    <w:rsid w:val="000F27A1"/>
    <w:rsid w:val="000F2EAB"/>
    <w:rsid w:val="000F5072"/>
    <w:rsid w:val="000F5564"/>
    <w:rsid w:val="000F56C0"/>
    <w:rsid w:val="00102C2E"/>
    <w:rsid w:val="00104C15"/>
    <w:rsid w:val="00104E40"/>
    <w:rsid w:val="00106C45"/>
    <w:rsid w:val="001071E0"/>
    <w:rsid w:val="0012044B"/>
    <w:rsid w:val="001266A9"/>
    <w:rsid w:val="00127D45"/>
    <w:rsid w:val="001321EA"/>
    <w:rsid w:val="001336DB"/>
    <w:rsid w:val="001340AB"/>
    <w:rsid w:val="001342D4"/>
    <w:rsid w:val="00136EE3"/>
    <w:rsid w:val="001457DE"/>
    <w:rsid w:val="0015225B"/>
    <w:rsid w:val="00154A82"/>
    <w:rsid w:val="00155BFB"/>
    <w:rsid w:val="00171795"/>
    <w:rsid w:val="00175440"/>
    <w:rsid w:val="00176291"/>
    <w:rsid w:val="00182C1B"/>
    <w:rsid w:val="00186126"/>
    <w:rsid w:val="001900C9"/>
    <w:rsid w:val="0019124C"/>
    <w:rsid w:val="00191649"/>
    <w:rsid w:val="001920B8"/>
    <w:rsid w:val="00192ECE"/>
    <w:rsid w:val="00196C1B"/>
    <w:rsid w:val="0019722B"/>
    <w:rsid w:val="001A18C7"/>
    <w:rsid w:val="001A43F9"/>
    <w:rsid w:val="001A494B"/>
    <w:rsid w:val="001A7BC4"/>
    <w:rsid w:val="001B6058"/>
    <w:rsid w:val="001B6096"/>
    <w:rsid w:val="001B63AF"/>
    <w:rsid w:val="001C3004"/>
    <w:rsid w:val="001C33AA"/>
    <w:rsid w:val="001C3B82"/>
    <w:rsid w:val="001C4D89"/>
    <w:rsid w:val="001C5D75"/>
    <w:rsid w:val="001C7125"/>
    <w:rsid w:val="001E33B6"/>
    <w:rsid w:val="001E37F3"/>
    <w:rsid w:val="001E3B46"/>
    <w:rsid w:val="001F14A3"/>
    <w:rsid w:val="001F1980"/>
    <w:rsid w:val="001F3097"/>
    <w:rsid w:val="002009D1"/>
    <w:rsid w:val="00200C6C"/>
    <w:rsid w:val="00205B73"/>
    <w:rsid w:val="00210C18"/>
    <w:rsid w:val="002142EB"/>
    <w:rsid w:val="00217BDA"/>
    <w:rsid w:val="00220DFF"/>
    <w:rsid w:val="00223395"/>
    <w:rsid w:val="00224322"/>
    <w:rsid w:val="002252A5"/>
    <w:rsid w:val="00225CF1"/>
    <w:rsid w:val="002329D5"/>
    <w:rsid w:val="00233025"/>
    <w:rsid w:val="0023489C"/>
    <w:rsid w:val="00235FCB"/>
    <w:rsid w:val="002415CA"/>
    <w:rsid w:val="00246D44"/>
    <w:rsid w:val="00250695"/>
    <w:rsid w:val="00254484"/>
    <w:rsid w:val="00261EAD"/>
    <w:rsid w:val="0026500A"/>
    <w:rsid w:val="00266238"/>
    <w:rsid w:val="00272C41"/>
    <w:rsid w:val="00274BAF"/>
    <w:rsid w:val="00280789"/>
    <w:rsid w:val="00283762"/>
    <w:rsid w:val="00283E7B"/>
    <w:rsid w:val="00284085"/>
    <w:rsid w:val="00286404"/>
    <w:rsid w:val="002945AA"/>
    <w:rsid w:val="00296B84"/>
    <w:rsid w:val="00296ECD"/>
    <w:rsid w:val="002A1FB8"/>
    <w:rsid w:val="002B09DD"/>
    <w:rsid w:val="002B1014"/>
    <w:rsid w:val="002B506D"/>
    <w:rsid w:val="002B57C6"/>
    <w:rsid w:val="002B5D2B"/>
    <w:rsid w:val="002C0758"/>
    <w:rsid w:val="002C3FF4"/>
    <w:rsid w:val="002C67FB"/>
    <w:rsid w:val="002D25F7"/>
    <w:rsid w:val="002D77A9"/>
    <w:rsid w:val="002E0928"/>
    <w:rsid w:val="002E0E51"/>
    <w:rsid w:val="002E2C89"/>
    <w:rsid w:val="002E419C"/>
    <w:rsid w:val="002E42F5"/>
    <w:rsid w:val="002F1DA1"/>
    <w:rsid w:val="002F20CF"/>
    <w:rsid w:val="002F4C37"/>
    <w:rsid w:val="002F5368"/>
    <w:rsid w:val="002F57B5"/>
    <w:rsid w:val="002F57C0"/>
    <w:rsid w:val="002F7E6A"/>
    <w:rsid w:val="00302A04"/>
    <w:rsid w:val="003038EC"/>
    <w:rsid w:val="00303E33"/>
    <w:rsid w:val="0030473A"/>
    <w:rsid w:val="00305C08"/>
    <w:rsid w:val="00307D6C"/>
    <w:rsid w:val="003106A1"/>
    <w:rsid w:val="00310E8B"/>
    <w:rsid w:val="00315C5E"/>
    <w:rsid w:val="00317423"/>
    <w:rsid w:val="00327FBB"/>
    <w:rsid w:val="00332E2B"/>
    <w:rsid w:val="00334471"/>
    <w:rsid w:val="00335BE9"/>
    <w:rsid w:val="00335E0F"/>
    <w:rsid w:val="003430A3"/>
    <w:rsid w:val="00345DE9"/>
    <w:rsid w:val="003478B7"/>
    <w:rsid w:val="00350286"/>
    <w:rsid w:val="003531CF"/>
    <w:rsid w:val="00353B40"/>
    <w:rsid w:val="00363E57"/>
    <w:rsid w:val="003759BA"/>
    <w:rsid w:val="00375D16"/>
    <w:rsid w:val="00376B52"/>
    <w:rsid w:val="00376F01"/>
    <w:rsid w:val="003823AF"/>
    <w:rsid w:val="003833FC"/>
    <w:rsid w:val="003847BA"/>
    <w:rsid w:val="00384887"/>
    <w:rsid w:val="00386D90"/>
    <w:rsid w:val="003870E4"/>
    <w:rsid w:val="003918DE"/>
    <w:rsid w:val="00393CEF"/>
    <w:rsid w:val="003A44C0"/>
    <w:rsid w:val="003B1688"/>
    <w:rsid w:val="003B1C87"/>
    <w:rsid w:val="003C03BA"/>
    <w:rsid w:val="003D2A96"/>
    <w:rsid w:val="003D2BB1"/>
    <w:rsid w:val="003D6811"/>
    <w:rsid w:val="003D6A70"/>
    <w:rsid w:val="003D7D01"/>
    <w:rsid w:val="003E1061"/>
    <w:rsid w:val="003E29A5"/>
    <w:rsid w:val="003E3C0C"/>
    <w:rsid w:val="003E7057"/>
    <w:rsid w:val="003E7CAF"/>
    <w:rsid w:val="003F2C0D"/>
    <w:rsid w:val="003F7CD7"/>
    <w:rsid w:val="0040057C"/>
    <w:rsid w:val="00402EB5"/>
    <w:rsid w:val="004049A8"/>
    <w:rsid w:val="00406080"/>
    <w:rsid w:val="00406105"/>
    <w:rsid w:val="00406C57"/>
    <w:rsid w:val="00407523"/>
    <w:rsid w:val="004142A6"/>
    <w:rsid w:val="00416412"/>
    <w:rsid w:val="004228C8"/>
    <w:rsid w:val="004329BE"/>
    <w:rsid w:val="00433522"/>
    <w:rsid w:val="00433C42"/>
    <w:rsid w:val="00434290"/>
    <w:rsid w:val="004348B0"/>
    <w:rsid w:val="00442CD2"/>
    <w:rsid w:val="00442F6D"/>
    <w:rsid w:val="00446C29"/>
    <w:rsid w:val="004505A9"/>
    <w:rsid w:val="004514C2"/>
    <w:rsid w:val="00452258"/>
    <w:rsid w:val="004532AD"/>
    <w:rsid w:val="00463B29"/>
    <w:rsid w:val="00465B35"/>
    <w:rsid w:val="00470704"/>
    <w:rsid w:val="00474595"/>
    <w:rsid w:val="00477356"/>
    <w:rsid w:val="00482159"/>
    <w:rsid w:val="00485EE6"/>
    <w:rsid w:val="00486A2E"/>
    <w:rsid w:val="00490C9C"/>
    <w:rsid w:val="00491DAB"/>
    <w:rsid w:val="00491E19"/>
    <w:rsid w:val="00492BAE"/>
    <w:rsid w:val="00492BB9"/>
    <w:rsid w:val="004945D2"/>
    <w:rsid w:val="00497984"/>
    <w:rsid w:val="004A52F7"/>
    <w:rsid w:val="004A5734"/>
    <w:rsid w:val="004B259F"/>
    <w:rsid w:val="004B3543"/>
    <w:rsid w:val="004B3F0D"/>
    <w:rsid w:val="004C2361"/>
    <w:rsid w:val="004C3EEF"/>
    <w:rsid w:val="004C7A6E"/>
    <w:rsid w:val="004D0562"/>
    <w:rsid w:val="004D187A"/>
    <w:rsid w:val="004D387B"/>
    <w:rsid w:val="004D61C7"/>
    <w:rsid w:val="004D76ED"/>
    <w:rsid w:val="004E6012"/>
    <w:rsid w:val="004E6153"/>
    <w:rsid w:val="004F06E9"/>
    <w:rsid w:val="004F42C3"/>
    <w:rsid w:val="004F4879"/>
    <w:rsid w:val="004F7868"/>
    <w:rsid w:val="004F7DAB"/>
    <w:rsid w:val="0050175C"/>
    <w:rsid w:val="00507357"/>
    <w:rsid w:val="00511FF7"/>
    <w:rsid w:val="0051361C"/>
    <w:rsid w:val="00514FCA"/>
    <w:rsid w:val="00517599"/>
    <w:rsid w:val="0052199D"/>
    <w:rsid w:val="00522BF4"/>
    <w:rsid w:val="0052398C"/>
    <w:rsid w:val="00523AD9"/>
    <w:rsid w:val="005241B2"/>
    <w:rsid w:val="005249C1"/>
    <w:rsid w:val="00524FC3"/>
    <w:rsid w:val="005334FA"/>
    <w:rsid w:val="00534344"/>
    <w:rsid w:val="00534A7B"/>
    <w:rsid w:val="00535F7D"/>
    <w:rsid w:val="0054095B"/>
    <w:rsid w:val="00540D4C"/>
    <w:rsid w:val="005415C3"/>
    <w:rsid w:val="00542691"/>
    <w:rsid w:val="00543985"/>
    <w:rsid w:val="005453F7"/>
    <w:rsid w:val="00550918"/>
    <w:rsid w:val="005578D9"/>
    <w:rsid w:val="005605C6"/>
    <w:rsid w:val="00560CC1"/>
    <w:rsid w:val="005638A4"/>
    <w:rsid w:val="00566B13"/>
    <w:rsid w:val="005717A6"/>
    <w:rsid w:val="00572C47"/>
    <w:rsid w:val="005735F3"/>
    <w:rsid w:val="00576CFD"/>
    <w:rsid w:val="005913F7"/>
    <w:rsid w:val="00595B7C"/>
    <w:rsid w:val="005A18AE"/>
    <w:rsid w:val="005A244E"/>
    <w:rsid w:val="005A26B5"/>
    <w:rsid w:val="005A39F1"/>
    <w:rsid w:val="005A486E"/>
    <w:rsid w:val="005A53AB"/>
    <w:rsid w:val="005B1A98"/>
    <w:rsid w:val="005B1CC9"/>
    <w:rsid w:val="005B38E2"/>
    <w:rsid w:val="005B4562"/>
    <w:rsid w:val="005B49B1"/>
    <w:rsid w:val="005B6558"/>
    <w:rsid w:val="005B6A8D"/>
    <w:rsid w:val="005B797C"/>
    <w:rsid w:val="005C1ADC"/>
    <w:rsid w:val="005C28C8"/>
    <w:rsid w:val="005C54BE"/>
    <w:rsid w:val="005C557D"/>
    <w:rsid w:val="005C5863"/>
    <w:rsid w:val="005D0146"/>
    <w:rsid w:val="005D5169"/>
    <w:rsid w:val="005E0796"/>
    <w:rsid w:val="005E1526"/>
    <w:rsid w:val="005E40B3"/>
    <w:rsid w:val="005E7A51"/>
    <w:rsid w:val="005F37B4"/>
    <w:rsid w:val="005F51D2"/>
    <w:rsid w:val="005F5E19"/>
    <w:rsid w:val="005F61D3"/>
    <w:rsid w:val="00601183"/>
    <w:rsid w:val="0060125C"/>
    <w:rsid w:val="00602FC0"/>
    <w:rsid w:val="0060368B"/>
    <w:rsid w:val="00603882"/>
    <w:rsid w:val="00603E12"/>
    <w:rsid w:val="00604470"/>
    <w:rsid w:val="00610A9A"/>
    <w:rsid w:val="0061163C"/>
    <w:rsid w:val="00611AAF"/>
    <w:rsid w:val="00614BB6"/>
    <w:rsid w:val="00614F3B"/>
    <w:rsid w:val="00615939"/>
    <w:rsid w:val="00616A34"/>
    <w:rsid w:val="006172E1"/>
    <w:rsid w:val="0061751E"/>
    <w:rsid w:val="00617F27"/>
    <w:rsid w:val="00620143"/>
    <w:rsid w:val="0062512D"/>
    <w:rsid w:val="00626456"/>
    <w:rsid w:val="006308B7"/>
    <w:rsid w:val="0063092D"/>
    <w:rsid w:val="00635F6E"/>
    <w:rsid w:val="006427B0"/>
    <w:rsid w:val="0064521C"/>
    <w:rsid w:val="00655CB7"/>
    <w:rsid w:val="00662C16"/>
    <w:rsid w:val="0066743F"/>
    <w:rsid w:val="00673BC5"/>
    <w:rsid w:val="00683D01"/>
    <w:rsid w:val="00685DA8"/>
    <w:rsid w:val="006923D1"/>
    <w:rsid w:val="00695128"/>
    <w:rsid w:val="0069786B"/>
    <w:rsid w:val="006A2E6D"/>
    <w:rsid w:val="006A311C"/>
    <w:rsid w:val="006A3939"/>
    <w:rsid w:val="006A498E"/>
    <w:rsid w:val="006A6855"/>
    <w:rsid w:val="006A7BCC"/>
    <w:rsid w:val="006B06E8"/>
    <w:rsid w:val="006B486F"/>
    <w:rsid w:val="006B6141"/>
    <w:rsid w:val="006C2F6D"/>
    <w:rsid w:val="006C5478"/>
    <w:rsid w:val="006C5DF2"/>
    <w:rsid w:val="006C624E"/>
    <w:rsid w:val="006D450D"/>
    <w:rsid w:val="006E6520"/>
    <w:rsid w:val="006E79FD"/>
    <w:rsid w:val="006F34D1"/>
    <w:rsid w:val="006F3ADC"/>
    <w:rsid w:val="006F640B"/>
    <w:rsid w:val="006F6CE6"/>
    <w:rsid w:val="006F70B5"/>
    <w:rsid w:val="0070429A"/>
    <w:rsid w:val="00706337"/>
    <w:rsid w:val="00714A85"/>
    <w:rsid w:val="00716202"/>
    <w:rsid w:val="00721BB2"/>
    <w:rsid w:val="00724F27"/>
    <w:rsid w:val="00726024"/>
    <w:rsid w:val="00732434"/>
    <w:rsid w:val="00735677"/>
    <w:rsid w:val="00735800"/>
    <w:rsid w:val="00735BFF"/>
    <w:rsid w:val="00737621"/>
    <w:rsid w:val="007435A8"/>
    <w:rsid w:val="00751016"/>
    <w:rsid w:val="007529F4"/>
    <w:rsid w:val="00752F9C"/>
    <w:rsid w:val="007617EB"/>
    <w:rsid w:val="0076466A"/>
    <w:rsid w:val="00764D50"/>
    <w:rsid w:val="007650D9"/>
    <w:rsid w:val="00767287"/>
    <w:rsid w:val="00767E21"/>
    <w:rsid w:val="00771D12"/>
    <w:rsid w:val="0077560B"/>
    <w:rsid w:val="0077726A"/>
    <w:rsid w:val="00786C40"/>
    <w:rsid w:val="0079215F"/>
    <w:rsid w:val="00795650"/>
    <w:rsid w:val="007971E5"/>
    <w:rsid w:val="007A67F6"/>
    <w:rsid w:val="007A73B8"/>
    <w:rsid w:val="007A789B"/>
    <w:rsid w:val="007B0B2E"/>
    <w:rsid w:val="007B777D"/>
    <w:rsid w:val="007B79DF"/>
    <w:rsid w:val="007B7C0E"/>
    <w:rsid w:val="007C2E39"/>
    <w:rsid w:val="007C3C89"/>
    <w:rsid w:val="007C408C"/>
    <w:rsid w:val="007C47A0"/>
    <w:rsid w:val="007C4F79"/>
    <w:rsid w:val="007C5EFC"/>
    <w:rsid w:val="007C61A9"/>
    <w:rsid w:val="007C67F1"/>
    <w:rsid w:val="007D0223"/>
    <w:rsid w:val="007D469A"/>
    <w:rsid w:val="007D5A6B"/>
    <w:rsid w:val="007E1DF1"/>
    <w:rsid w:val="007E3B1E"/>
    <w:rsid w:val="007F054D"/>
    <w:rsid w:val="007F3004"/>
    <w:rsid w:val="007F5CD2"/>
    <w:rsid w:val="007F6650"/>
    <w:rsid w:val="00803018"/>
    <w:rsid w:val="0080406A"/>
    <w:rsid w:val="00804666"/>
    <w:rsid w:val="008054FE"/>
    <w:rsid w:val="00807044"/>
    <w:rsid w:val="008076BD"/>
    <w:rsid w:val="0081038D"/>
    <w:rsid w:val="00810836"/>
    <w:rsid w:val="008114E9"/>
    <w:rsid w:val="00812A26"/>
    <w:rsid w:val="00813162"/>
    <w:rsid w:val="008175D4"/>
    <w:rsid w:val="00820303"/>
    <w:rsid w:val="00827EB5"/>
    <w:rsid w:val="00837793"/>
    <w:rsid w:val="00841246"/>
    <w:rsid w:val="00842D66"/>
    <w:rsid w:val="008451EC"/>
    <w:rsid w:val="00851458"/>
    <w:rsid w:val="008519EF"/>
    <w:rsid w:val="00852D96"/>
    <w:rsid w:val="00856289"/>
    <w:rsid w:val="00857ED4"/>
    <w:rsid w:val="00873357"/>
    <w:rsid w:val="00874E13"/>
    <w:rsid w:val="00880A83"/>
    <w:rsid w:val="00882E76"/>
    <w:rsid w:val="00884F89"/>
    <w:rsid w:val="00884FB7"/>
    <w:rsid w:val="0088636E"/>
    <w:rsid w:val="00890292"/>
    <w:rsid w:val="00890B0A"/>
    <w:rsid w:val="00892B4B"/>
    <w:rsid w:val="008962C5"/>
    <w:rsid w:val="008A0873"/>
    <w:rsid w:val="008A0C54"/>
    <w:rsid w:val="008A2909"/>
    <w:rsid w:val="008A43D8"/>
    <w:rsid w:val="008B03C6"/>
    <w:rsid w:val="008B0EE6"/>
    <w:rsid w:val="008B1AD4"/>
    <w:rsid w:val="008B4DBD"/>
    <w:rsid w:val="008C4AD0"/>
    <w:rsid w:val="008C6AE5"/>
    <w:rsid w:val="008D2814"/>
    <w:rsid w:val="008D2C58"/>
    <w:rsid w:val="008D4527"/>
    <w:rsid w:val="008D575A"/>
    <w:rsid w:val="008D7DAD"/>
    <w:rsid w:val="008E45B1"/>
    <w:rsid w:val="008E47CC"/>
    <w:rsid w:val="008E7C94"/>
    <w:rsid w:val="008F0E8F"/>
    <w:rsid w:val="008F0F72"/>
    <w:rsid w:val="008F147F"/>
    <w:rsid w:val="008F34C2"/>
    <w:rsid w:val="008F3951"/>
    <w:rsid w:val="008F742F"/>
    <w:rsid w:val="00900E7D"/>
    <w:rsid w:val="00900F7B"/>
    <w:rsid w:val="00901AA0"/>
    <w:rsid w:val="0090587F"/>
    <w:rsid w:val="009111A7"/>
    <w:rsid w:val="009138A4"/>
    <w:rsid w:val="00914B7F"/>
    <w:rsid w:val="00921D0B"/>
    <w:rsid w:val="00926727"/>
    <w:rsid w:val="00927C78"/>
    <w:rsid w:val="0093214F"/>
    <w:rsid w:val="00936E90"/>
    <w:rsid w:val="00942C08"/>
    <w:rsid w:val="009464B1"/>
    <w:rsid w:val="00947455"/>
    <w:rsid w:val="009508E1"/>
    <w:rsid w:val="009509EF"/>
    <w:rsid w:val="00951D0F"/>
    <w:rsid w:val="009540BA"/>
    <w:rsid w:val="009652D5"/>
    <w:rsid w:val="0096670B"/>
    <w:rsid w:val="00967006"/>
    <w:rsid w:val="0097033B"/>
    <w:rsid w:val="00971015"/>
    <w:rsid w:val="0097269B"/>
    <w:rsid w:val="009805D4"/>
    <w:rsid w:val="009823EE"/>
    <w:rsid w:val="00982472"/>
    <w:rsid w:val="00990599"/>
    <w:rsid w:val="009938D7"/>
    <w:rsid w:val="0099611D"/>
    <w:rsid w:val="009961C1"/>
    <w:rsid w:val="009A1105"/>
    <w:rsid w:val="009A59B4"/>
    <w:rsid w:val="009A68FD"/>
    <w:rsid w:val="009B06E5"/>
    <w:rsid w:val="009B0DE8"/>
    <w:rsid w:val="009B46A0"/>
    <w:rsid w:val="009B624D"/>
    <w:rsid w:val="009B6486"/>
    <w:rsid w:val="009B6ECD"/>
    <w:rsid w:val="009C15F6"/>
    <w:rsid w:val="009C3017"/>
    <w:rsid w:val="009C386D"/>
    <w:rsid w:val="009C4386"/>
    <w:rsid w:val="009C4C3A"/>
    <w:rsid w:val="009C5084"/>
    <w:rsid w:val="009C7741"/>
    <w:rsid w:val="009D55B3"/>
    <w:rsid w:val="009D6EE0"/>
    <w:rsid w:val="009E0BE2"/>
    <w:rsid w:val="009E4560"/>
    <w:rsid w:val="009E5C91"/>
    <w:rsid w:val="009E5FBB"/>
    <w:rsid w:val="009E67DA"/>
    <w:rsid w:val="009E6D28"/>
    <w:rsid w:val="009E7BF8"/>
    <w:rsid w:val="009F0693"/>
    <w:rsid w:val="009F0E90"/>
    <w:rsid w:val="009F24E2"/>
    <w:rsid w:val="009F3F74"/>
    <w:rsid w:val="009F44BD"/>
    <w:rsid w:val="009F478C"/>
    <w:rsid w:val="009F728D"/>
    <w:rsid w:val="00A000C0"/>
    <w:rsid w:val="00A011BF"/>
    <w:rsid w:val="00A03885"/>
    <w:rsid w:val="00A03B6F"/>
    <w:rsid w:val="00A03F32"/>
    <w:rsid w:val="00A11A66"/>
    <w:rsid w:val="00A12177"/>
    <w:rsid w:val="00A127C9"/>
    <w:rsid w:val="00A14168"/>
    <w:rsid w:val="00A14A94"/>
    <w:rsid w:val="00A17623"/>
    <w:rsid w:val="00A17D32"/>
    <w:rsid w:val="00A22608"/>
    <w:rsid w:val="00A335C4"/>
    <w:rsid w:val="00A428F7"/>
    <w:rsid w:val="00A43143"/>
    <w:rsid w:val="00A446AE"/>
    <w:rsid w:val="00A51EA6"/>
    <w:rsid w:val="00A54B54"/>
    <w:rsid w:val="00A56F7C"/>
    <w:rsid w:val="00A57A82"/>
    <w:rsid w:val="00A57C6D"/>
    <w:rsid w:val="00A60EF2"/>
    <w:rsid w:val="00A618F3"/>
    <w:rsid w:val="00A65797"/>
    <w:rsid w:val="00A66112"/>
    <w:rsid w:val="00A66418"/>
    <w:rsid w:val="00A676B1"/>
    <w:rsid w:val="00A7506D"/>
    <w:rsid w:val="00A77435"/>
    <w:rsid w:val="00A813D0"/>
    <w:rsid w:val="00A84202"/>
    <w:rsid w:val="00A8466A"/>
    <w:rsid w:val="00A84B83"/>
    <w:rsid w:val="00A85F50"/>
    <w:rsid w:val="00A86296"/>
    <w:rsid w:val="00A87EA3"/>
    <w:rsid w:val="00A87EB5"/>
    <w:rsid w:val="00A92B2E"/>
    <w:rsid w:val="00A92FD5"/>
    <w:rsid w:val="00A948EC"/>
    <w:rsid w:val="00A97059"/>
    <w:rsid w:val="00AA03C4"/>
    <w:rsid w:val="00AA2CD2"/>
    <w:rsid w:val="00AA2D3A"/>
    <w:rsid w:val="00AA355E"/>
    <w:rsid w:val="00AB3E71"/>
    <w:rsid w:val="00AB43B2"/>
    <w:rsid w:val="00AB5E44"/>
    <w:rsid w:val="00AB672A"/>
    <w:rsid w:val="00AC5AE0"/>
    <w:rsid w:val="00AC70E5"/>
    <w:rsid w:val="00AD1372"/>
    <w:rsid w:val="00AD16CF"/>
    <w:rsid w:val="00AD33AA"/>
    <w:rsid w:val="00AE4884"/>
    <w:rsid w:val="00AE4A70"/>
    <w:rsid w:val="00AE4D92"/>
    <w:rsid w:val="00AE6761"/>
    <w:rsid w:val="00AE76FA"/>
    <w:rsid w:val="00AF0601"/>
    <w:rsid w:val="00AF3B98"/>
    <w:rsid w:val="00AF7415"/>
    <w:rsid w:val="00AF7F3F"/>
    <w:rsid w:val="00B07971"/>
    <w:rsid w:val="00B12026"/>
    <w:rsid w:val="00B1363D"/>
    <w:rsid w:val="00B1373C"/>
    <w:rsid w:val="00B147D9"/>
    <w:rsid w:val="00B1554C"/>
    <w:rsid w:val="00B1590C"/>
    <w:rsid w:val="00B209B0"/>
    <w:rsid w:val="00B21271"/>
    <w:rsid w:val="00B22F34"/>
    <w:rsid w:val="00B234EE"/>
    <w:rsid w:val="00B2643F"/>
    <w:rsid w:val="00B3038E"/>
    <w:rsid w:val="00B31639"/>
    <w:rsid w:val="00B40D6E"/>
    <w:rsid w:val="00B45BF9"/>
    <w:rsid w:val="00B474E8"/>
    <w:rsid w:val="00B51AE4"/>
    <w:rsid w:val="00B544BB"/>
    <w:rsid w:val="00B55500"/>
    <w:rsid w:val="00B5591D"/>
    <w:rsid w:val="00B63E37"/>
    <w:rsid w:val="00B727E2"/>
    <w:rsid w:val="00B735CF"/>
    <w:rsid w:val="00B74963"/>
    <w:rsid w:val="00B76AD7"/>
    <w:rsid w:val="00B775D4"/>
    <w:rsid w:val="00B80635"/>
    <w:rsid w:val="00B81763"/>
    <w:rsid w:val="00B827E6"/>
    <w:rsid w:val="00B8301A"/>
    <w:rsid w:val="00B85E98"/>
    <w:rsid w:val="00B877E7"/>
    <w:rsid w:val="00B947DF"/>
    <w:rsid w:val="00BA0637"/>
    <w:rsid w:val="00BA0E26"/>
    <w:rsid w:val="00BA4C0D"/>
    <w:rsid w:val="00BA7739"/>
    <w:rsid w:val="00BB0E6F"/>
    <w:rsid w:val="00BB35BE"/>
    <w:rsid w:val="00BB4202"/>
    <w:rsid w:val="00BB5B27"/>
    <w:rsid w:val="00BB5BA5"/>
    <w:rsid w:val="00BB779A"/>
    <w:rsid w:val="00BC0ECA"/>
    <w:rsid w:val="00BC319E"/>
    <w:rsid w:val="00BC3352"/>
    <w:rsid w:val="00BC3ED0"/>
    <w:rsid w:val="00BC5127"/>
    <w:rsid w:val="00BC683B"/>
    <w:rsid w:val="00BD0999"/>
    <w:rsid w:val="00BD429F"/>
    <w:rsid w:val="00BE5377"/>
    <w:rsid w:val="00BE5BFA"/>
    <w:rsid w:val="00BF0242"/>
    <w:rsid w:val="00BF0B93"/>
    <w:rsid w:val="00BF1015"/>
    <w:rsid w:val="00BF3154"/>
    <w:rsid w:val="00BF3517"/>
    <w:rsid w:val="00BF43A8"/>
    <w:rsid w:val="00BF6AE0"/>
    <w:rsid w:val="00C059E9"/>
    <w:rsid w:val="00C1734A"/>
    <w:rsid w:val="00C21AE7"/>
    <w:rsid w:val="00C23EF7"/>
    <w:rsid w:val="00C24D1F"/>
    <w:rsid w:val="00C25951"/>
    <w:rsid w:val="00C274CD"/>
    <w:rsid w:val="00C30801"/>
    <w:rsid w:val="00C33980"/>
    <w:rsid w:val="00C33C86"/>
    <w:rsid w:val="00C40272"/>
    <w:rsid w:val="00C43197"/>
    <w:rsid w:val="00C44A43"/>
    <w:rsid w:val="00C47257"/>
    <w:rsid w:val="00C53278"/>
    <w:rsid w:val="00C5467A"/>
    <w:rsid w:val="00C55ACE"/>
    <w:rsid w:val="00C57949"/>
    <w:rsid w:val="00C62233"/>
    <w:rsid w:val="00C654A7"/>
    <w:rsid w:val="00C66203"/>
    <w:rsid w:val="00C66653"/>
    <w:rsid w:val="00C70369"/>
    <w:rsid w:val="00C80239"/>
    <w:rsid w:val="00C80EF8"/>
    <w:rsid w:val="00C817B1"/>
    <w:rsid w:val="00C85BB1"/>
    <w:rsid w:val="00C867F3"/>
    <w:rsid w:val="00C8752A"/>
    <w:rsid w:val="00C92327"/>
    <w:rsid w:val="00C92FDF"/>
    <w:rsid w:val="00C94734"/>
    <w:rsid w:val="00C966B5"/>
    <w:rsid w:val="00C97284"/>
    <w:rsid w:val="00CA2904"/>
    <w:rsid w:val="00CA5403"/>
    <w:rsid w:val="00CA6351"/>
    <w:rsid w:val="00CB1368"/>
    <w:rsid w:val="00CC0250"/>
    <w:rsid w:val="00CC390D"/>
    <w:rsid w:val="00CD1462"/>
    <w:rsid w:val="00CD2DD6"/>
    <w:rsid w:val="00CD372A"/>
    <w:rsid w:val="00CD5FC5"/>
    <w:rsid w:val="00CE7EFD"/>
    <w:rsid w:val="00CF09B3"/>
    <w:rsid w:val="00CF7483"/>
    <w:rsid w:val="00CF78BF"/>
    <w:rsid w:val="00D04EE5"/>
    <w:rsid w:val="00D06E65"/>
    <w:rsid w:val="00D1248F"/>
    <w:rsid w:val="00D13926"/>
    <w:rsid w:val="00D1456D"/>
    <w:rsid w:val="00D1604A"/>
    <w:rsid w:val="00D1686B"/>
    <w:rsid w:val="00D2032C"/>
    <w:rsid w:val="00D21D52"/>
    <w:rsid w:val="00D268A4"/>
    <w:rsid w:val="00D301DD"/>
    <w:rsid w:val="00D355C1"/>
    <w:rsid w:val="00D4359D"/>
    <w:rsid w:val="00D52512"/>
    <w:rsid w:val="00D54FCA"/>
    <w:rsid w:val="00D56156"/>
    <w:rsid w:val="00D56969"/>
    <w:rsid w:val="00D56E64"/>
    <w:rsid w:val="00D56F25"/>
    <w:rsid w:val="00D608A9"/>
    <w:rsid w:val="00D618CA"/>
    <w:rsid w:val="00D62209"/>
    <w:rsid w:val="00D63879"/>
    <w:rsid w:val="00D64949"/>
    <w:rsid w:val="00D65741"/>
    <w:rsid w:val="00D70683"/>
    <w:rsid w:val="00D70A3F"/>
    <w:rsid w:val="00D82F86"/>
    <w:rsid w:val="00D83EE4"/>
    <w:rsid w:val="00D90059"/>
    <w:rsid w:val="00D96E7E"/>
    <w:rsid w:val="00DA2A58"/>
    <w:rsid w:val="00DA5747"/>
    <w:rsid w:val="00DA6E1E"/>
    <w:rsid w:val="00DB4FE5"/>
    <w:rsid w:val="00DB51D5"/>
    <w:rsid w:val="00DB6810"/>
    <w:rsid w:val="00DC0516"/>
    <w:rsid w:val="00DC0C54"/>
    <w:rsid w:val="00DC0E9D"/>
    <w:rsid w:val="00DC65B0"/>
    <w:rsid w:val="00DC6C3D"/>
    <w:rsid w:val="00DD0B2E"/>
    <w:rsid w:val="00DD6807"/>
    <w:rsid w:val="00DE017E"/>
    <w:rsid w:val="00DE0524"/>
    <w:rsid w:val="00DE2817"/>
    <w:rsid w:val="00DE2F2C"/>
    <w:rsid w:val="00DE4F2F"/>
    <w:rsid w:val="00DF080D"/>
    <w:rsid w:val="00DF2E0C"/>
    <w:rsid w:val="00DF3DAE"/>
    <w:rsid w:val="00DF402B"/>
    <w:rsid w:val="00DF5365"/>
    <w:rsid w:val="00DF67D7"/>
    <w:rsid w:val="00E00A55"/>
    <w:rsid w:val="00E02F05"/>
    <w:rsid w:val="00E04C69"/>
    <w:rsid w:val="00E1049F"/>
    <w:rsid w:val="00E10F92"/>
    <w:rsid w:val="00E133F4"/>
    <w:rsid w:val="00E13D91"/>
    <w:rsid w:val="00E236C5"/>
    <w:rsid w:val="00E313C9"/>
    <w:rsid w:val="00E31649"/>
    <w:rsid w:val="00E364CE"/>
    <w:rsid w:val="00E366D6"/>
    <w:rsid w:val="00E469A1"/>
    <w:rsid w:val="00E46F6A"/>
    <w:rsid w:val="00E50F55"/>
    <w:rsid w:val="00E52668"/>
    <w:rsid w:val="00E55B7B"/>
    <w:rsid w:val="00E60431"/>
    <w:rsid w:val="00E6072A"/>
    <w:rsid w:val="00E60C64"/>
    <w:rsid w:val="00E60F92"/>
    <w:rsid w:val="00E616E4"/>
    <w:rsid w:val="00E70190"/>
    <w:rsid w:val="00E7071B"/>
    <w:rsid w:val="00E72BC9"/>
    <w:rsid w:val="00E73ABA"/>
    <w:rsid w:val="00E741B6"/>
    <w:rsid w:val="00E742C0"/>
    <w:rsid w:val="00E74F7F"/>
    <w:rsid w:val="00E82EF1"/>
    <w:rsid w:val="00E83204"/>
    <w:rsid w:val="00E83C51"/>
    <w:rsid w:val="00E863F0"/>
    <w:rsid w:val="00E87A55"/>
    <w:rsid w:val="00E934BE"/>
    <w:rsid w:val="00EA5288"/>
    <w:rsid w:val="00EB28B5"/>
    <w:rsid w:val="00EB466C"/>
    <w:rsid w:val="00EC002F"/>
    <w:rsid w:val="00EC313E"/>
    <w:rsid w:val="00EC4C2B"/>
    <w:rsid w:val="00EC7ADE"/>
    <w:rsid w:val="00ED17FE"/>
    <w:rsid w:val="00ED6A4F"/>
    <w:rsid w:val="00ED73B3"/>
    <w:rsid w:val="00EE26BA"/>
    <w:rsid w:val="00EE395F"/>
    <w:rsid w:val="00EE39F5"/>
    <w:rsid w:val="00EF1851"/>
    <w:rsid w:val="00EF2677"/>
    <w:rsid w:val="00EF4BBE"/>
    <w:rsid w:val="00EF71A2"/>
    <w:rsid w:val="00F0284E"/>
    <w:rsid w:val="00F02F0E"/>
    <w:rsid w:val="00F05ED4"/>
    <w:rsid w:val="00F07F9C"/>
    <w:rsid w:val="00F111D7"/>
    <w:rsid w:val="00F17A70"/>
    <w:rsid w:val="00F2121C"/>
    <w:rsid w:val="00F2181B"/>
    <w:rsid w:val="00F26189"/>
    <w:rsid w:val="00F27FF2"/>
    <w:rsid w:val="00F327FB"/>
    <w:rsid w:val="00F32BEE"/>
    <w:rsid w:val="00F33227"/>
    <w:rsid w:val="00F336C7"/>
    <w:rsid w:val="00F3457B"/>
    <w:rsid w:val="00F34C4E"/>
    <w:rsid w:val="00F37720"/>
    <w:rsid w:val="00F4165F"/>
    <w:rsid w:val="00F44AE2"/>
    <w:rsid w:val="00F44D35"/>
    <w:rsid w:val="00F45BF9"/>
    <w:rsid w:val="00F47FD4"/>
    <w:rsid w:val="00F5023B"/>
    <w:rsid w:val="00F50A1B"/>
    <w:rsid w:val="00F5360C"/>
    <w:rsid w:val="00F54BB5"/>
    <w:rsid w:val="00F60C7F"/>
    <w:rsid w:val="00F6242A"/>
    <w:rsid w:val="00F65CAB"/>
    <w:rsid w:val="00F6616F"/>
    <w:rsid w:val="00F6684A"/>
    <w:rsid w:val="00F705E6"/>
    <w:rsid w:val="00F70C84"/>
    <w:rsid w:val="00F71445"/>
    <w:rsid w:val="00F74469"/>
    <w:rsid w:val="00F744D1"/>
    <w:rsid w:val="00F75BF2"/>
    <w:rsid w:val="00F75D65"/>
    <w:rsid w:val="00F77A43"/>
    <w:rsid w:val="00F8133E"/>
    <w:rsid w:val="00F83869"/>
    <w:rsid w:val="00F83B9A"/>
    <w:rsid w:val="00F85D13"/>
    <w:rsid w:val="00F86857"/>
    <w:rsid w:val="00F86AB3"/>
    <w:rsid w:val="00F87646"/>
    <w:rsid w:val="00F94AD6"/>
    <w:rsid w:val="00FA1BCB"/>
    <w:rsid w:val="00FC1DCD"/>
    <w:rsid w:val="00FC31FC"/>
    <w:rsid w:val="00FC3CE2"/>
    <w:rsid w:val="00FC475D"/>
    <w:rsid w:val="00FC6237"/>
    <w:rsid w:val="00FC69E9"/>
    <w:rsid w:val="00FC6B01"/>
    <w:rsid w:val="00FC7612"/>
    <w:rsid w:val="00FD0136"/>
    <w:rsid w:val="00FD53C4"/>
    <w:rsid w:val="00FD5751"/>
    <w:rsid w:val="00FE2E8A"/>
    <w:rsid w:val="00FE3E6F"/>
    <w:rsid w:val="00FF2BC2"/>
    <w:rsid w:val="00FF3C17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F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21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217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6B5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90B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34A7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4A7B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4A7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4A7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4A7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C5D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4F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21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217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6B5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90B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34A7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34A7B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4A7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4A7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4A7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C5D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alpha</dc:creator>
  <cp:lastModifiedBy>HERWIG TOM</cp:lastModifiedBy>
  <cp:revision>3</cp:revision>
  <dcterms:created xsi:type="dcterms:W3CDTF">2015-03-25T13:52:00Z</dcterms:created>
  <dcterms:modified xsi:type="dcterms:W3CDTF">2015-03-25T14:17:00Z</dcterms:modified>
</cp:coreProperties>
</file>